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«Исполнение исполнительных документов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счет средств бюджета Социального фонда России»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сполнение судебных актов, предусматривающих обращение взыскания на средства бюджета государственного внебюджетного фонда Российской Федерации по денежным обязательствам казенных учреждений фонда осуществляется в соответствии со статьей 242.3 главы 24.1 «Ис</w:t>
      </w:r>
      <w:r>
        <w:rPr>
          <w:rFonts w:ascii="Times New Roman" w:hAnsi="Times New Roman" w:cs="Times New Roman"/>
          <w:sz w:val="28"/>
          <w:szCs w:val="28"/>
        </w:rPr>
        <w:t xml:space="preserve">полнение судебных актов по обращению взысканий на средства бюджетов бюджетной системы Российской Федерации, на средства участников казначейского сопровождения» Бюджетного кодекса Российской Федерации (далее – БК РФ).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взыскателем судебных акт</w:t>
      </w:r>
      <w:r>
        <w:rPr>
          <w:rFonts w:ascii="Times New Roman" w:hAnsi="Times New Roman" w:cs="Times New Roman"/>
          <w:sz w:val="28"/>
          <w:szCs w:val="28"/>
        </w:rPr>
        <w:t xml:space="preserve">ов на взыскания на средства бюджета государственного внебюджетного фонда Российской Федерации возможно только по месту открытия лицевого счета получателя средств бюджета, соответственно, только в орган Федерального казначейства. Другие органы исполнительно</w:t>
      </w:r>
      <w:r>
        <w:rPr>
          <w:rFonts w:ascii="Times New Roman" w:hAnsi="Times New Roman" w:cs="Times New Roman"/>
          <w:sz w:val="28"/>
          <w:szCs w:val="28"/>
        </w:rPr>
        <w:t xml:space="preserve">й власти такими полномочиями не наделены. Представление судебных актов возможно в любой территориальный орган Федерального казначейства, где взыскателю территориально более удобно. Органом Федерального казначейства принимаются к исполнению исполнительные д</w:t>
      </w:r>
      <w:r>
        <w:rPr>
          <w:rFonts w:ascii="Times New Roman" w:hAnsi="Times New Roman" w:cs="Times New Roman"/>
          <w:sz w:val="28"/>
          <w:szCs w:val="28"/>
        </w:rPr>
        <w:t xml:space="preserve">окументы с обязательным указанием суммы взыскания.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Взыскателем одновременно с исполнительным листом представляется копия судебного акта и заявление с указанием реквизитов банковского счета взыскателя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который должны быть перечислены средства, подлежащи</w:t>
      </w:r>
      <w:r>
        <w:rPr>
          <w:rFonts w:ascii="Times New Roman" w:hAnsi="Times New Roman" w:cs="Times New Roman"/>
          <w:sz w:val="28"/>
          <w:szCs w:val="28"/>
        </w:rPr>
        <w:t xml:space="preserve">е взысканию. Заявление обязательно должно быть подписано взыскателем либо его представителем с приложением оригинала доверенности (нотариально удостоверенной копии доверенности или иного документа, удостоверяющего полномочия представителя). При направлении</w:t>
      </w:r>
      <w:r>
        <w:rPr>
          <w:rFonts w:ascii="Times New Roman" w:hAnsi="Times New Roman" w:cs="Times New Roman"/>
          <w:sz w:val="28"/>
          <w:szCs w:val="28"/>
        </w:rPr>
        <w:t xml:space="preserve"> требования о взыскании в пользу юридического лица без предъявления оригинала доверенности представителя (заверенной копии доверенности) заявление обязательно должно быть подписано руководителем юридического лица. При отсутствии какого-либо из вышеуказанны</w:t>
      </w:r>
      <w:r>
        <w:rPr>
          <w:rFonts w:ascii="Times New Roman" w:hAnsi="Times New Roman" w:cs="Times New Roman"/>
          <w:sz w:val="28"/>
          <w:szCs w:val="28"/>
        </w:rPr>
        <w:t xml:space="preserve">х документов весь пакет документов возвращается взыскателю.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Исполнительные документы могут быть возвращены взыскателю без исполнения в связи с несоответствием документов требованиям, установленным Гражданским процессуальным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Кодексом административного судопроизводства Российской Федерации, Арбитражным процессуальным кодексом Российской Федерации и законодательством Российской Федерации об исполнительном производстве, а также при нарушение установленного законодательством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 срока предъявления исполнительного документа к исполнению. Соответствие либо несоответствие документов указанным требованием определяется юридической службой органа Федерального казначейства.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пакет исполнительных документов може</w:t>
      </w:r>
      <w:r>
        <w:rPr>
          <w:rFonts w:ascii="Times New Roman" w:hAnsi="Times New Roman" w:cs="Times New Roman"/>
          <w:sz w:val="28"/>
          <w:szCs w:val="28"/>
        </w:rPr>
        <w:t xml:space="preserve">т быть возвращен взыскателю по его личному заявлению, либо в суд – по заявлению суда об отзыве исполнительного документа. Исполнительный документ также может быть возвращен в суд при невозможности перечисления денежных средств по реквизитам, указанным в за</w:t>
      </w:r>
      <w:r>
        <w:rPr>
          <w:rFonts w:ascii="Times New Roman" w:hAnsi="Times New Roman" w:cs="Times New Roman"/>
          <w:sz w:val="28"/>
          <w:szCs w:val="28"/>
        </w:rPr>
        <w:t xml:space="preserve">явлении взыскателя и непредставлении уточненных банковских реквизитов. В случае возврата исполнительных документов взыскателю или в суд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органом Федерального казначейства направляется Уведомление о возврате исполнительного документа с приложением всех посту</w:t>
      </w:r>
      <w:r>
        <w:rPr>
          <w:rFonts w:ascii="Times New Roman" w:hAnsi="Times New Roman" w:cs="Times New Roman"/>
          <w:sz w:val="28"/>
          <w:szCs w:val="28"/>
        </w:rPr>
        <w:t xml:space="preserve">пивших документов.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Тюменской области обслуживание лицевого счета получателя средств бюджета Отделения фонда пенсионного и социального страхования по Тюменской области (далее – Отделение) обеспечивает Управление Федерального казначейства по Тюменской обла</w:t>
      </w:r>
      <w:r>
        <w:rPr>
          <w:rFonts w:ascii="Times New Roman" w:hAnsi="Times New Roman" w:cs="Times New Roman"/>
          <w:sz w:val="28"/>
          <w:szCs w:val="28"/>
        </w:rPr>
        <w:t xml:space="preserve">сти (далее – Управление). принимает к исполнению исполнительные документы, о взыскания на средства бюджета Фонда пенсионного и социального страхования (далее – бюджет фонда), представленные взыскателем непосредственно в Управление лично либо посредством по</w:t>
      </w:r>
      <w:r>
        <w:rPr>
          <w:rFonts w:ascii="Times New Roman" w:hAnsi="Times New Roman" w:cs="Times New Roman"/>
          <w:sz w:val="28"/>
          <w:szCs w:val="28"/>
        </w:rPr>
        <w:t xml:space="preserve">чтовой связи, так и поступившие в другие территориальные органы Федерального казначейства, находящиеся во всех субъектах Российской Федерации.  Передача информации о поступивших документах межу органами Федерального казначейства осуществляется посредством </w:t>
      </w:r>
      <w:r>
        <w:rPr>
          <w:rFonts w:ascii="Times New Roman" w:hAnsi="Times New Roman" w:cs="Times New Roman"/>
          <w:sz w:val="28"/>
          <w:szCs w:val="28"/>
        </w:rPr>
        <w:t xml:space="preserve">электронного обмена документами при внутриведомственном взаимодействии.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причинами возврата исполнительных документов в Управлении являются: разночтения в указании фамилии, имени, отчества взыскателя в исполнительном </w:t>
      </w:r>
      <w:r>
        <w:rPr>
          <w:rFonts w:ascii="Times New Roman" w:hAnsi="Times New Roman" w:cs="Times New Roman"/>
          <w:sz w:val="28"/>
          <w:szCs w:val="28"/>
        </w:rPr>
        <w:t xml:space="preserve">листе и в судебном акте, на основании которого выдан исполнительны лист, а также представление неполного пакета документов, предусмотренных статьей 242.1. БК РФ. Управление оперативно по телефону доводит информацию взыскателю о необходимости внесения право</w:t>
      </w:r>
      <w:r>
        <w:rPr>
          <w:rFonts w:ascii="Times New Roman" w:hAnsi="Times New Roman" w:cs="Times New Roman"/>
          <w:sz w:val="28"/>
          <w:szCs w:val="28"/>
        </w:rPr>
        <w:t xml:space="preserve">к в пакете документов и в дальнейшем процедуры возврата осуществляются согласно законодательно установленного порядка.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ходе исполнения исполнительного документа взыскатели могут увидеть на сайте Управления в разделе «Прием обращений» → «Взыска</w:t>
      </w:r>
      <w:r>
        <w:rPr>
          <w:rFonts w:ascii="Times New Roman" w:hAnsi="Times New Roman" w:cs="Times New Roman"/>
          <w:sz w:val="28"/>
          <w:szCs w:val="28"/>
        </w:rPr>
        <w:t xml:space="preserve">ния на средства ФБ». Кроме того, взыскатель может обратиться в Управление по телефонам (3452) 590-113 Ригель Елена Александровна, (3452) 468- 997 – Нефедова Наталья Александровна.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казначей отдела кассового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обслуживания исполнения бюджетов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УФК по</w:t>
      </w:r>
      <w:r>
        <w:rPr>
          <w:rFonts w:ascii="Times New Roman" w:hAnsi="Times New Roman" w:cs="Times New Roman"/>
          <w:sz w:val="28"/>
          <w:szCs w:val="28"/>
        </w:rPr>
        <w:t xml:space="preserve"> Тюменской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Н.А. Нефедова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63"/>
    <w:link w:val="65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63"/>
    <w:link w:val="677"/>
    <w:uiPriority w:val="10"/>
    <w:rPr>
      <w:sz w:val="48"/>
      <w:szCs w:val="48"/>
    </w:rPr>
  </w:style>
  <w:style w:type="character" w:styleId="37">
    <w:name w:val="Subtitle Char"/>
    <w:basedOn w:val="663"/>
    <w:link w:val="679"/>
    <w:uiPriority w:val="11"/>
    <w:rPr>
      <w:sz w:val="24"/>
      <w:szCs w:val="24"/>
    </w:rPr>
  </w:style>
  <w:style w:type="character" w:styleId="39">
    <w:name w:val="Quote Char"/>
    <w:link w:val="681"/>
    <w:uiPriority w:val="29"/>
    <w:rPr>
      <w:i/>
    </w:rPr>
  </w:style>
  <w:style w:type="character" w:styleId="41">
    <w:name w:val="Intense Quote Char"/>
    <w:link w:val="683"/>
    <w:uiPriority w:val="30"/>
    <w:rPr>
      <w:i/>
    </w:rPr>
  </w:style>
  <w:style w:type="character" w:styleId="43">
    <w:name w:val="Header Char"/>
    <w:basedOn w:val="663"/>
    <w:link w:val="685"/>
    <w:uiPriority w:val="99"/>
  </w:style>
  <w:style w:type="character" w:styleId="45">
    <w:name w:val="Footer Char"/>
    <w:basedOn w:val="663"/>
    <w:link w:val="687"/>
    <w:uiPriority w:val="99"/>
  </w:style>
  <w:style w:type="character" w:styleId="47">
    <w:name w:val="Caption Char"/>
    <w:basedOn w:val="663"/>
    <w:link w:val="689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18"/>
    <w:uiPriority w:val="99"/>
    <w:rPr>
      <w:sz w:val="18"/>
    </w:rPr>
  </w:style>
  <w:style w:type="character" w:styleId="179">
    <w:name w:val="Endnote Text Char"/>
    <w:link w:val="821"/>
    <w:uiPriority w:val="99"/>
    <w:rPr>
      <w:sz w:val="20"/>
    </w:rPr>
  </w:style>
  <w:style w:type="paragraph" w:styleId="653" w:default="1">
    <w:name w:val="Normal"/>
    <w:qFormat/>
  </w:style>
  <w:style w:type="paragraph" w:styleId="654">
    <w:name w:val="Heading 1"/>
    <w:basedOn w:val="653"/>
    <w:next w:val="653"/>
    <w:link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Заголовок 1 Знак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68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List Paragraph"/>
    <w:basedOn w:val="653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after="0" w:line="240" w:lineRule="auto"/>
    </w:pPr>
  </w:style>
  <w:style w:type="paragraph" w:styleId="677">
    <w:name w:val="Title"/>
    <w:basedOn w:val="653"/>
    <w:next w:val="65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 w:customStyle="1">
    <w:name w:val="Название Знак"/>
    <w:basedOn w:val="663"/>
    <w:link w:val="677"/>
    <w:uiPriority w:val="10"/>
    <w:rPr>
      <w:sz w:val="48"/>
      <w:szCs w:val="48"/>
    </w:rPr>
  </w:style>
  <w:style w:type="paragraph" w:styleId="679">
    <w:name w:val="Subtitle"/>
    <w:basedOn w:val="653"/>
    <w:next w:val="65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 w:customStyle="1">
    <w:name w:val="Подзаголовок Знак"/>
    <w:basedOn w:val="663"/>
    <w:link w:val="679"/>
    <w:uiPriority w:val="11"/>
    <w:rPr>
      <w:sz w:val="24"/>
      <w:szCs w:val="24"/>
    </w:rPr>
  </w:style>
  <w:style w:type="paragraph" w:styleId="681">
    <w:name w:val="Quote"/>
    <w:basedOn w:val="653"/>
    <w:next w:val="653"/>
    <w:link w:val="682"/>
    <w:uiPriority w:val="29"/>
    <w:qFormat/>
    <w:pPr>
      <w:ind w:left="720" w:right="720"/>
    </w:pPr>
    <w:rPr>
      <w:i/>
    </w:rPr>
  </w:style>
  <w:style w:type="character" w:styleId="682" w:customStyle="1">
    <w:name w:val="Цитата 2 Знак"/>
    <w:link w:val="681"/>
    <w:uiPriority w:val="29"/>
    <w:rPr>
      <w:i/>
    </w:rPr>
  </w:style>
  <w:style w:type="paragraph" w:styleId="683">
    <w:name w:val="Intense Quote"/>
    <w:basedOn w:val="653"/>
    <w:next w:val="653"/>
    <w:link w:val="6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 w:customStyle="1">
    <w:name w:val="Выделенная цитата Знак"/>
    <w:link w:val="683"/>
    <w:uiPriority w:val="30"/>
    <w:rPr>
      <w:i/>
    </w:rPr>
  </w:style>
  <w:style w:type="paragraph" w:styleId="685">
    <w:name w:val="Header"/>
    <w:basedOn w:val="65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 w:customStyle="1">
    <w:name w:val="Верхний колонтитул Знак"/>
    <w:basedOn w:val="663"/>
    <w:link w:val="685"/>
    <w:uiPriority w:val="99"/>
  </w:style>
  <w:style w:type="paragraph" w:styleId="687">
    <w:name w:val="Footer"/>
    <w:basedOn w:val="65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 w:customStyle="1">
    <w:name w:val="Нижний колонтитул Знак"/>
    <w:basedOn w:val="663"/>
    <w:link w:val="687"/>
    <w:uiPriority w:val="99"/>
  </w:style>
  <w:style w:type="paragraph" w:styleId="689">
    <w:name w:val="Caption"/>
    <w:basedOn w:val="653"/>
    <w:next w:val="653"/>
    <w:link w:val="69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690" w:customStyle="1">
    <w:name w:val="Название объекта Знак"/>
    <w:basedOn w:val="663"/>
    <w:link w:val="689"/>
    <w:uiPriority w:val="35"/>
    <w:rPr>
      <w:b/>
      <w:bCs/>
      <w:color w:val="5b9bd5" w:themeColor="accent1"/>
      <w:sz w:val="18"/>
      <w:szCs w:val="18"/>
    </w:rPr>
  </w:style>
  <w:style w:type="table" w:styleId="691">
    <w:name w:val="Table Grid"/>
    <w:basedOn w:val="66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 w:customStyle="1">
    <w:name w:val="Table Grid Light"/>
    <w:basedOn w:val="66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66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6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21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2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3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4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25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6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3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4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35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6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7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8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39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40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6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3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784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5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6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7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788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9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7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798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9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0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1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2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3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4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05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6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7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8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09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0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1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12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3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4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5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16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563c1" w:themeColor="hyperlink"/>
      <w:u w:val="single"/>
    </w:rPr>
  </w:style>
  <w:style w:type="paragraph" w:styleId="818">
    <w:name w:val="footnote text"/>
    <w:basedOn w:val="653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 w:customStyle="1">
    <w:name w:val="Текст сноски Знак"/>
    <w:link w:val="818"/>
    <w:uiPriority w:val="99"/>
    <w:rPr>
      <w:sz w:val="18"/>
    </w:rPr>
  </w:style>
  <w:style w:type="character" w:styleId="820">
    <w:name w:val="footnote reference"/>
    <w:basedOn w:val="663"/>
    <w:uiPriority w:val="99"/>
    <w:unhideWhenUsed/>
    <w:rPr>
      <w:vertAlign w:val="superscript"/>
    </w:rPr>
  </w:style>
  <w:style w:type="paragraph" w:styleId="821">
    <w:name w:val="endnote text"/>
    <w:basedOn w:val="653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 w:customStyle="1">
    <w:name w:val="Текст концевой сноски Знак"/>
    <w:link w:val="821"/>
    <w:uiPriority w:val="99"/>
    <w:rPr>
      <w:sz w:val="20"/>
    </w:rPr>
  </w:style>
  <w:style w:type="character" w:styleId="823">
    <w:name w:val="endnote reference"/>
    <w:basedOn w:val="663"/>
    <w:uiPriority w:val="99"/>
    <w:semiHidden/>
    <w:unhideWhenUsed/>
    <w:rPr>
      <w:vertAlign w:val="superscript"/>
    </w:rPr>
  </w:style>
  <w:style w:type="paragraph" w:styleId="824">
    <w:name w:val="toc 1"/>
    <w:basedOn w:val="653"/>
    <w:next w:val="653"/>
    <w:uiPriority w:val="39"/>
    <w:unhideWhenUsed/>
    <w:pPr>
      <w:spacing w:after="57"/>
    </w:pPr>
  </w:style>
  <w:style w:type="paragraph" w:styleId="825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26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27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28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29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30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31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32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653"/>
    <w:next w:val="653"/>
    <w:uiPriority w:val="99"/>
    <w:unhideWhenUsed/>
    <w:pPr>
      <w:spacing w:after="0"/>
    </w:pPr>
  </w:style>
  <w:style w:type="paragraph" w:styleId="835">
    <w:name w:val="Balloon Text"/>
    <w:basedOn w:val="653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663"/>
    <w:link w:val="83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Нефедова Наталья Александровна</dc:creator>
  <cp:keywords/>
  <dc:description/>
  <cp:lastModifiedBy>Ригель Елена Александровна</cp:lastModifiedBy>
  <cp:revision>3</cp:revision>
  <dcterms:created xsi:type="dcterms:W3CDTF">2026-05-15T07:01:00Z</dcterms:created>
  <dcterms:modified xsi:type="dcterms:W3CDTF">2026-05-15T09:26:59Z</dcterms:modified>
</cp:coreProperties>
</file>